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宋体" w:hAnsi="宋体"/>
          <w:b/>
          <w:bCs/>
          <w:sz w:val="28"/>
          <w:szCs w:val="28"/>
        </w:rPr>
      </w:pPr>
      <w:r>
        <w:rPr>
          <w:rFonts w:hint="eastAsia" w:ascii="宋体" w:hAnsi="宋体"/>
          <w:b/>
          <w:bCs/>
          <w:sz w:val="28"/>
          <w:szCs w:val="28"/>
        </w:rPr>
        <w:t>易信科技互联网数据中心用户入网</w:t>
      </w:r>
      <w:r>
        <w:rPr>
          <w:rFonts w:hint="eastAsia" w:ascii="宋体" w:hAnsi="宋体"/>
          <w:b/>
          <w:bCs/>
          <w:sz w:val="28"/>
          <w:szCs w:val="28"/>
          <w:lang w:eastAsia="zh-CN"/>
        </w:rPr>
        <w:t>安全</w:t>
      </w:r>
      <w:r>
        <w:rPr>
          <w:rFonts w:hint="eastAsia" w:ascii="宋体" w:hAnsi="宋体"/>
          <w:b/>
          <w:bCs/>
          <w:sz w:val="28"/>
          <w:szCs w:val="28"/>
        </w:rPr>
        <w:t>责任书</w:t>
      </w:r>
    </w:p>
    <w:p>
      <w:pPr>
        <w:rPr>
          <w:rFonts w:ascii="宋体" w:hAnsi="宋体"/>
          <w:b/>
          <w:bCs/>
          <w:szCs w:val="21"/>
        </w:rPr>
      </w:pPr>
    </w:p>
    <w:p>
      <w:pPr>
        <w:ind w:firstLine="495"/>
        <w:rPr>
          <w:rFonts w:ascii="宋体" w:hAnsi="宋体"/>
          <w:bCs/>
          <w:szCs w:val="21"/>
        </w:rPr>
      </w:pPr>
      <w:r>
        <w:rPr>
          <w:rFonts w:hint="eastAsia" w:ascii="宋体" w:hAnsi="宋体"/>
          <w:bCs/>
          <w:szCs w:val="21"/>
        </w:rPr>
        <w:t>通过深圳易信科技股份有限公司接入互联网的用户必须认真阅读此责任书，并自觉遵守《责任书》的各项规定。</w:t>
      </w:r>
    </w:p>
    <w:p>
      <w:pPr>
        <w:numPr>
          <w:ilvl w:val="0"/>
          <w:numId w:val="1"/>
        </w:numPr>
        <w:rPr>
          <w:rFonts w:ascii="宋体" w:hAnsi="宋体"/>
          <w:bCs/>
          <w:szCs w:val="21"/>
        </w:rPr>
      </w:pPr>
      <w:r>
        <w:rPr>
          <w:rFonts w:hint="eastAsia" w:ascii="宋体" w:hAnsi="宋体"/>
          <w:bCs/>
          <w:szCs w:val="21"/>
        </w:rPr>
        <w:t>用户接入互联网公网，应遵守国家的有关法律、法规和行政规章制度；</w:t>
      </w:r>
    </w:p>
    <w:p>
      <w:pPr>
        <w:ind w:firstLine="420" w:firstLineChars="200"/>
        <w:rPr>
          <w:rFonts w:ascii="宋体" w:hAnsi="宋体"/>
          <w:bCs/>
          <w:szCs w:val="21"/>
        </w:rPr>
      </w:pPr>
      <w:r>
        <w:rPr>
          <w:rFonts w:hint="eastAsia" w:ascii="宋体" w:hAnsi="宋体"/>
          <w:bCs/>
          <w:szCs w:val="21"/>
        </w:rPr>
        <w:t>二、用户保证具备合格的资质条件，包括但不限于营业执照、增值电信业务经营许可证、广告经营许可证、税务登记证、非经营性互联网信息服务备案证明以及深圳易信科技股份有限公司要求提交的其他资质证明，方得以使用所托管的设备、设施合法开展业务，并同意向广东电信有限公司提供有关资质证明文件。</w:t>
      </w:r>
    </w:p>
    <w:p>
      <w:pPr>
        <w:ind w:firstLine="420" w:firstLineChars="200"/>
        <w:rPr>
          <w:rFonts w:ascii="宋体" w:hAnsi="宋体"/>
          <w:bCs/>
          <w:szCs w:val="21"/>
        </w:rPr>
      </w:pPr>
      <w:r>
        <w:rPr>
          <w:rFonts w:hint="eastAsia" w:ascii="宋体" w:hAnsi="宋体"/>
          <w:bCs/>
          <w:szCs w:val="21"/>
        </w:rPr>
        <w:t>用户如从事新闻、出版、教育、医疗保健、药品和医疗器械、文件、广告电影电视节目等非经营性互联网信息服务，用户保证已根据法律、行政法规以及国家有关规定经有关主管部门审核同意的；且在向其住所所在地省通信管理部门履行备案手续时，保证向通信管理部门提交相关主管部门审核同意的文件。用户如从事电子公告服务的，在向其住所所在地省通信管理部门履行备案手续时，保证应向通信管理部门提交电子公告服务专项备案材料。</w:t>
      </w:r>
    </w:p>
    <w:p>
      <w:pPr>
        <w:ind w:firstLine="420" w:firstLineChars="200"/>
        <w:rPr>
          <w:rFonts w:hint="eastAsia" w:ascii="宋体" w:hAnsi="宋体"/>
          <w:bCs/>
          <w:szCs w:val="21"/>
          <w:lang w:eastAsia="zh-CN"/>
        </w:rPr>
      </w:pPr>
      <w:r>
        <w:rPr>
          <w:rFonts w:hint="eastAsia" w:ascii="宋体" w:hAnsi="宋体"/>
          <w:bCs/>
          <w:szCs w:val="21"/>
        </w:rPr>
        <w:t>用户如从事非经营性互联网信息服务，保证已首先登陆信息产业部备案管理系统履行互联网备案手续，并按期履行年度审核手续。如当地通信管理部门要求履行非经营性互联网信息服务备案手续的，还应向其住所所在地通信管理部门履行非经营性互联网信息服务器备案手续。</w:t>
      </w:r>
      <w:r>
        <w:rPr>
          <w:rFonts w:hint="eastAsia" w:ascii="宋体" w:hAnsi="宋体"/>
          <w:bCs/>
          <w:szCs w:val="21"/>
          <w:lang w:eastAsia="zh-CN"/>
        </w:rPr>
        <w:t>所有网站进行了网站备案之后，都需要登录全国公安机关互联网站安全服务平台</w:t>
      </w:r>
      <w:r>
        <w:rPr>
          <w:rFonts w:hint="eastAsia" w:ascii="宋体" w:hAnsi="宋体"/>
          <w:bCs/>
          <w:szCs w:val="21"/>
          <w:lang w:eastAsia="zh-CN"/>
        </w:rPr>
        <w:br w:type="textWrapping"/>
      </w:r>
      <w:r>
        <w:rPr>
          <w:rFonts w:hint="eastAsia" w:ascii="宋体" w:hAnsi="宋体"/>
          <w:bCs/>
          <w:szCs w:val="21"/>
          <w:lang w:eastAsia="zh-CN"/>
        </w:rPr>
        <w:fldChar w:fldCharType="begin"/>
      </w:r>
      <w:r>
        <w:rPr>
          <w:rFonts w:hint="eastAsia" w:ascii="宋体" w:hAnsi="宋体"/>
          <w:bCs/>
          <w:szCs w:val="21"/>
          <w:lang w:eastAsia="zh-CN"/>
        </w:rPr>
        <w:instrText xml:space="preserve"> HYPERLINK "qq://txfile/" </w:instrText>
      </w:r>
      <w:r>
        <w:rPr>
          <w:rFonts w:hint="eastAsia" w:ascii="宋体" w:hAnsi="宋体"/>
          <w:bCs/>
          <w:szCs w:val="21"/>
          <w:lang w:eastAsia="zh-CN"/>
        </w:rPr>
        <w:fldChar w:fldCharType="separate"/>
      </w:r>
      <w:r>
        <w:rPr>
          <w:rFonts w:hint="eastAsia" w:ascii="宋体" w:hAnsi="宋体"/>
          <w:bCs/>
          <w:szCs w:val="21"/>
          <w:lang w:eastAsia="zh-CN"/>
        </w:rPr>
        <w:t>http://beian.gov.cn</w:t>
      </w:r>
      <w:r>
        <w:rPr>
          <w:rFonts w:hint="eastAsia" w:ascii="宋体" w:hAnsi="宋体"/>
          <w:bCs/>
          <w:szCs w:val="21"/>
          <w:lang w:eastAsia="zh-CN"/>
        </w:rPr>
        <w:fldChar w:fldCharType="end"/>
      </w:r>
      <w:r>
        <w:rPr>
          <w:rFonts w:hint="eastAsia" w:ascii="宋体" w:hAnsi="宋体"/>
          <w:bCs/>
          <w:szCs w:val="21"/>
          <w:lang w:eastAsia="zh-CN"/>
        </w:rPr>
        <w:t>进行公安部备案，依照提示完成公安备案手续。</w:t>
      </w:r>
    </w:p>
    <w:p>
      <w:pPr>
        <w:ind w:firstLine="420" w:firstLineChars="200"/>
        <w:rPr>
          <w:rFonts w:ascii="宋体" w:hAnsi="宋体"/>
          <w:bCs/>
          <w:szCs w:val="21"/>
        </w:rPr>
      </w:pPr>
      <w:r>
        <w:rPr>
          <w:rFonts w:hint="eastAsia" w:ascii="宋体" w:hAnsi="宋体"/>
          <w:b w:val="0"/>
          <w:bCs/>
          <w:szCs w:val="21"/>
        </w:rPr>
        <w:t>用户如从事经营性互联网服务，必须取得增值电信业务经营许可证。</w:t>
      </w:r>
      <w:r>
        <w:rPr>
          <w:rFonts w:hint="eastAsia" w:ascii="宋体" w:hAnsi="宋体"/>
          <w:bCs/>
          <w:szCs w:val="21"/>
        </w:rPr>
        <w:t>其中，从事主机托管、虚拟主机等互联网数据中心业务的应取得因特网数据中心业务经营许可证；从事经营性互联网信息服务的应取得互联网信息服务业务经营许可证。</w:t>
      </w:r>
    </w:p>
    <w:p>
      <w:pPr>
        <w:ind w:firstLine="420" w:firstLineChars="200"/>
        <w:rPr>
          <w:rFonts w:ascii="宋体" w:hAnsi="宋体"/>
          <w:bCs/>
          <w:szCs w:val="21"/>
        </w:rPr>
      </w:pPr>
      <w:r>
        <w:rPr>
          <w:rFonts w:hint="eastAsia" w:ascii="宋体" w:hAnsi="宋体"/>
          <w:bCs/>
          <w:szCs w:val="21"/>
        </w:rPr>
        <w:t>用户如从事经营性互联网服务，应当在其网站主页显著位置标明其经营许可证编号；用户如从事非经营性互联网服务，用户网站开通时在主页底部的中央位置标明其备案编号，并在备案编号下方链接信息产业部备案管理系统网址，供公众查询核对，用户还需按照信息产业部备案管理系统的要求，将备案电子验证标识放置在其网站的指定目录下；</w:t>
      </w:r>
    </w:p>
    <w:p>
      <w:pPr>
        <w:ind w:firstLine="420" w:firstLineChars="200"/>
        <w:rPr>
          <w:rFonts w:ascii="宋体" w:hAnsi="宋体"/>
          <w:bCs/>
          <w:szCs w:val="21"/>
        </w:rPr>
      </w:pPr>
      <w:r>
        <w:rPr>
          <w:rFonts w:hint="eastAsia" w:ascii="宋体" w:hAnsi="宋体"/>
          <w:bCs/>
          <w:szCs w:val="21"/>
        </w:rPr>
        <w:t>用户保证已履行其他法律、法规及部门规章所规定的手续或已取得有关资质证明文件；</w:t>
      </w:r>
    </w:p>
    <w:p>
      <w:pPr>
        <w:ind w:firstLine="420" w:firstLineChars="200"/>
        <w:rPr>
          <w:rFonts w:ascii="宋体" w:hAnsi="宋体"/>
          <w:bCs/>
          <w:szCs w:val="21"/>
        </w:rPr>
      </w:pPr>
      <w:r>
        <w:rPr>
          <w:rFonts w:hint="eastAsia" w:ascii="宋体" w:hAnsi="宋体"/>
          <w:bCs/>
          <w:szCs w:val="21"/>
        </w:rPr>
        <w:t>如用户上述资质证明所记载内容在协议期间内出现变更或换证，用户应在领到新证后五个工作日内向深圳易信科技股份有限公司提供最新的资质证明文件。</w:t>
      </w:r>
    </w:p>
    <w:p>
      <w:pPr>
        <w:ind w:firstLine="420" w:firstLineChars="200"/>
        <w:rPr>
          <w:rFonts w:ascii="宋体" w:hAnsi="宋体"/>
          <w:bCs/>
          <w:szCs w:val="21"/>
        </w:rPr>
      </w:pPr>
      <w:r>
        <w:rPr>
          <w:rFonts w:hint="eastAsia" w:ascii="宋体" w:hAnsi="宋体"/>
          <w:bCs/>
          <w:szCs w:val="21"/>
        </w:rPr>
        <w:t>如用户违反上述保证，深圳易信科技股份有限公司有权拒绝或停止提供服务或设施，并要求用户在限期内改正；由此给深圳易信科技股份有限公司造成损失的，用户应当予以赔偿。</w:t>
      </w:r>
    </w:p>
    <w:p>
      <w:pPr>
        <w:ind w:firstLine="420" w:firstLineChars="200"/>
        <w:rPr>
          <w:rFonts w:ascii="宋体" w:hAnsi="宋体"/>
          <w:bCs/>
          <w:szCs w:val="21"/>
        </w:rPr>
      </w:pPr>
      <w:r>
        <w:rPr>
          <w:rFonts w:hint="eastAsia" w:ascii="宋体" w:hAnsi="宋体"/>
          <w:bCs/>
          <w:szCs w:val="21"/>
        </w:rPr>
        <w:t>三、用户不能利用电信公网从事危害国家安全、泄露国家机密等犯罪活动，不能利用电信公网查阅、复制和传播危害国家安全、妨碍社会治安和淫秽黄色的信息，不能利用电信公网发布恶意的、向他们挑衅的信息。若发现此类信息，需立即向相关部门报告，一切后果由互联网数据中心用户自行负责；</w:t>
      </w:r>
    </w:p>
    <w:p>
      <w:pPr>
        <w:ind w:firstLine="420" w:firstLineChars="200"/>
        <w:rPr>
          <w:rFonts w:ascii="宋体" w:hAnsi="宋体"/>
          <w:bCs/>
          <w:szCs w:val="21"/>
        </w:rPr>
      </w:pPr>
      <w:r>
        <w:rPr>
          <w:rFonts w:hint="eastAsia" w:ascii="宋体" w:hAnsi="宋体"/>
          <w:bCs/>
          <w:szCs w:val="21"/>
        </w:rPr>
        <w:t>四、用户必须建立有效的安全保密制度和技术保证措施，有义务按照电信部门的要求提供网络使用情况和有关资料，接受电信部门的网络安全管理和信息安全管理监控；用户需要提供其信息服务的有效检测手段，包括测试账号和密码，并在账号变更时书面知会深圳易信科技股份有限公司。</w:t>
      </w:r>
    </w:p>
    <w:p>
      <w:pPr>
        <w:ind w:firstLine="420" w:firstLineChars="200"/>
        <w:rPr>
          <w:rFonts w:ascii="宋体" w:hAnsi="宋体"/>
          <w:bCs/>
          <w:szCs w:val="21"/>
        </w:rPr>
      </w:pPr>
      <w:r>
        <w:rPr>
          <w:rFonts w:hint="eastAsia" w:ascii="宋体" w:hAnsi="宋体"/>
          <w:bCs/>
          <w:szCs w:val="21"/>
        </w:rPr>
        <w:t>五、互联网数据中心用户在使用时，不得从事危害他人信息系统和网络安全、侵犯他人权益的活动。当网络出现异常情况，应积极配合易信科技解决，用户维护设备或进行设备配置参数调整必须接受机房维护管理约定以避免对其他用户造成影响；</w:t>
      </w:r>
    </w:p>
    <w:p>
      <w:pPr>
        <w:ind w:firstLine="420" w:firstLineChars="200"/>
        <w:rPr>
          <w:rFonts w:ascii="宋体" w:hAnsi="宋体"/>
          <w:bCs/>
          <w:szCs w:val="21"/>
        </w:rPr>
      </w:pPr>
      <w:r>
        <w:rPr>
          <w:rFonts w:hint="eastAsia" w:ascii="宋体" w:hAnsi="宋体"/>
          <w:bCs/>
          <w:szCs w:val="21"/>
        </w:rPr>
        <w:t>六、如果出现用户托管的主机或网络在公网非法运作，或违反国家信息管理相关规定的情况，易信科技有权采取行动，甚至停止对该用户的主机托管服务；</w:t>
      </w:r>
    </w:p>
    <w:p>
      <w:pPr>
        <w:ind w:firstLine="420" w:firstLineChars="200"/>
        <w:rPr>
          <w:rFonts w:ascii="宋体" w:hAnsi="宋体"/>
          <w:bCs/>
          <w:szCs w:val="21"/>
        </w:rPr>
      </w:pPr>
      <w:r>
        <w:rPr>
          <w:rFonts w:hint="eastAsia" w:ascii="宋体" w:hAnsi="宋体"/>
          <w:bCs/>
          <w:szCs w:val="21"/>
        </w:rPr>
        <w:t>七、互联网数据中心用户在进入深圳易信科技股份有限公司IDC机房时，应严格遵守机房的各项管理规定；</w:t>
      </w:r>
    </w:p>
    <w:p>
      <w:pPr>
        <w:ind w:firstLine="420" w:firstLineChars="200"/>
        <w:rPr>
          <w:rFonts w:ascii="宋体" w:hAnsi="宋体"/>
          <w:bCs/>
          <w:szCs w:val="21"/>
        </w:rPr>
      </w:pPr>
      <w:r>
        <w:rPr>
          <w:rFonts w:hint="eastAsia" w:ascii="宋体" w:hAnsi="宋体"/>
          <w:bCs/>
          <w:szCs w:val="21"/>
        </w:rPr>
        <w:t>八、在易信科技IDC机房托管主机的用户，不得以任何方式经营未经政府管理部门批准的业务或托管协议中未约定同意开展的业务，对易信公司分配的IP地址，互联网数据中心用户只有使用权，不可转让他人使用，一经发现，将立即做停机处理；</w:t>
      </w:r>
    </w:p>
    <w:p>
      <w:pPr>
        <w:ind w:firstLine="420" w:firstLineChars="200"/>
        <w:rPr>
          <w:rFonts w:ascii="宋体" w:hAnsi="宋体"/>
          <w:bCs/>
          <w:szCs w:val="21"/>
        </w:rPr>
      </w:pPr>
      <w:r>
        <w:rPr>
          <w:rFonts w:hint="eastAsia" w:ascii="宋体" w:hAnsi="宋体"/>
          <w:bCs/>
          <w:szCs w:val="21"/>
        </w:rPr>
        <w:t>九、互联网数据中心用户申请维护主机的专线仅限用于对主机日常维护和更新主机内容，不得用作其他用途，否则立即中断此专线，并追收损失；</w:t>
      </w:r>
    </w:p>
    <w:p>
      <w:pPr>
        <w:ind w:firstLine="420" w:firstLineChars="200"/>
        <w:rPr>
          <w:rFonts w:ascii="宋体" w:hAnsi="宋体"/>
          <w:bCs/>
          <w:szCs w:val="21"/>
        </w:rPr>
      </w:pPr>
      <w:r>
        <w:rPr>
          <w:rFonts w:hint="eastAsia" w:ascii="宋体" w:hAnsi="宋体"/>
          <w:bCs/>
          <w:szCs w:val="21"/>
        </w:rPr>
        <w:t>十、用户应遵循托管协议的要求，否则将按协议要求实施相关处罚，包括停机，拆机处理甚至追究法律责任；</w:t>
      </w:r>
    </w:p>
    <w:p>
      <w:pPr>
        <w:ind w:firstLine="420" w:firstLineChars="200"/>
        <w:rPr>
          <w:rFonts w:hint="eastAsia" w:ascii="宋体" w:hAnsi="宋体"/>
          <w:bCs/>
          <w:szCs w:val="21"/>
        </w:rPr>
      </w:pPr>
      <w:r>
        <w:rPr>
          <w:rFonts w:hint="eastAsia" w:ascii="宋体" w:hAnsi="宋体"/>
          <w:bCs/>
          <w:szCs w:val="21"/>
        </w:rPr>
        <w:t>十</w:t>
      </w:r>
      <w:r>
        <w:rPr>
          <w:rFonts w:hint="eastAsia" w:ascii="宋体" w:hAnsi="宋体"/>
          <w:bCs/>
          <w:szCs w:val="21"/>
          <w:lang w:eastAsia="zh-CN"/>
        </w:rPr>
        <w:t>一</w:t>
      </w:r>
      <w:r>
        <w:rPr>
          <w:rFonts w:hint="eastAsia" w:ascii="宋体" w:hAnsi="宋体"/>
          <w:bCs/>
          <w:szCs w:val="21"/>
        </w:rPr>
        <w:t>、互联网数据中心用户的各级主管人员又责任教育、监督本单位职工严格遵守上述条款。</w:t>
      </w:r>
    </w:p>
    <w:p>
      <w:pPr>
        <w:ind w:firstLine="420" w:firstLineChars="200"/>
        <w:rPr>
          <w:rFonts w:hint="eastAsia" w:ascii="宋体" w:hAnsi="宋体" w:eastAsia="宋体"/>
          <w:bCs/>
          <w:szCs w:val="21"/>
          <w:vertAlign w:val="baseline"/>
          <w:lang w:eastAsia="zh-CN"/>
        </w:rPr>
      </w:pPr>
      <w:r>
        <w:rPr>
          <w:rFonts w:hint="eastAsia" w:ascii="宋体" w:hAnsi="宋体"/>
          <w:bCs/>
          <w:szCs w:val="21"/>
          <w:lang w:eastAsia="zh-CN"/>
        </w:rPr>
        <w:t>十二、凡接入易信科技</w:t>
      </w:r>
      <w:r>
        <w:rPr>
          <w:rFonts w:hint="eastAsia" w:ascii="宋体" w:hAnsi="宋体"/>
          <w:bCs/>
          <w:szCs w:val="21"/>
          <w:lang w:val="en-US" w:eastAsia="zh-CN"/>
        </w:rPr>
        <w:t>IDC机房的用户，都必须提供完整的用户信息，信息如下表</w:t>
      </w:r>
      <w:r>
        <w:rPr>
          <w:rFonts w:hint="eastAsia" w:ascii="宋体" w:hAnsi="宋体"/>
          <w:b/>
          <w:bCs w:val="0"/>
          <w:szCs w:val="21"/>
          <w:lang w:val="en-US" w:eastAsia="zh-CN"/>
        </w:rPr>
        <w:t>（必填）</w:t>
      </w:r>
      <w:r>
        <w:rPr>
          <w:rFonts w:hint="eastAsia" w:ascii="宋体" w:hAnsi="宋体"/>
          <w:bCs/>
          <w:szCs w:val="21"/>
          <w:lang w:val="en-US" w:eastAsia="zh-CN"/>
        </w:rPr>
        <w:t>：</w:t>
      </w:r>
    </w:p>
    <w:tbl>
      <w:tblPr>
        <w:tblStyle w:val="5"/>
        <w:tblW w:w="750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27"/>
        <w:gridCol w:w="56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50" w:hRule="atLeast"/>
          <w:jc w:val="center"/>
        </w:trPr>
        <w:tc>
          <w:tcPr>
            <w:tcW w:w="1827" w:type="dxa"/>
          </w:tcPr>
          <w:p>
            <w:pPr>
              <w:rPr>
                <w:rFonts w:hint="eastAsia" w:ascii="宋体" w:hAnsi="宋体" w:eastAsia="宋体"/>
                <w:b/>
                <w:bCs w:val="0"/>
                <w:szCs w:val="21"/>
                <w:vertAlign w:val="baseline"/>
                <w:lang w:eastAsia="zh-CN"/>
              </w:rPr>
            </w:pPr>
            <w:r>
              <w:rPr>
                <w:rFonts w:hint="eastAsia" w:ascii="宋体" w:hAnsi="宋体"/>
                <w:b/>
                <w:bCs w:val="0"/>
                <w:szCs w:val="21"/>
                <w:vertAlign w:val="baseline"/>
                <w:lang w:eastAsia="zh-CN"/>
              </w:rPr>
              <w:t>负责人姓名</w:t>
            </w:r>
          </w:p>
        </w:tc>
        <w:tc>
          <w:tcPr>
            <w:tcW w:w="5673" w:type="dxa"/>
          </w:tcPr>
          <w:p>
            <w:pPr>
              <w:rPr>
                <w:rFonts w:hint="eastAsia" w:ascii="宋体" w:hAnsi="宋体" w:eastAsia="宋体"/>
                <w:b/>
                <w:bCs w:val="0"/>
                <w:szCs w:val="21"/>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50" w:hRule="atLeast"/>
          <w:jc w:val="center"/>
        </w:trPr>
        <w:tc>
          <w:tcPr>
            <w:tcW w:w="1827" w:type="dxa"/>
          </w:tcPr>
          <w:p>
            <w:pPr>
              <w:rPr>
                <w:rFonts w:hint="eastAsia" w:ascii="宋体" w:hAnsi="宋体" w:eastAsia="宋体"/>
                <w:b/>
                <w:bCs w:val="0"/>
                <w:szCs w:val="21"/>
                <w:vertAlign w:val="baseline"/>
                <w:lang w:eastAsia="zh-CN"/>
              </w:rPr>
            </w:pPr>
            <w:r>
              <w:rPr>
                <w:rFonts w:hint="eastAsia" w:ascii="宋体" w:hAnsi="宋体"/>
                <w:b/>
                <w:bCs w:val="0"/>
                <w:szCs w:val="21"/>
                <w:vertAlign w:val="baseline"/>
                <w:lang w:eastAsia="zh-CN"/>
              </w:rPr>
              <w:t>负责人电话</w:t>
            </w:r>
          </w:p>
        </w:tc>
        <w:tc>
          <w:tcPr>
            <w:tcW w:w="5673" w:type="dxa"/>
          </w:tcPr>
          <w:p>
            <w:pPr>
              <w:rPr>
                <w:rFonts w:hint="eastAsia" w:ascii="宋体" w:hAnsi="宋体" w:eastAsia="宋体"/>
                <w:b/>
                <w:bCs w:val="0"/>
                <w:szCs w:val="21"/>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50" w:hRule="atLeast"/>
          <w:jc w:val="center"/>
        </w:trPr>
        <w:tc>
          <w:tcPr>
            <w:tcW w:w="1827" w:type="dxa"/>
          </w:tcPr>
          <w:p>
            <w:pPr>
              <w:rPr>
                <w:rFonts w:hint="eastAsia" w:ascii="宋体" w:hAnsi="宋体" w:eastAsia="宋体"/>
                <w:b/>
                <w:bCs w:val="0"/>
                <w:szCs w:val="21"/>
                <w:vertAlign w:val="baseline"/>
                <w:lang w:eastAsia="zh-CN"/>
              </w:rPr>
            </w:pPr>
            <w:r>
              <w:rPr>
                <w:rFonts w:hint="eastAsia" w:ascii="宋体" w:hAnsi="宋体"/>
                <w:b/>
                <w:bCs w:val="0"/>
                <w:szCs w:val="21"/>
                <w:vertAlign w:val="baseline"/>
                <w:lang w:eastAsia="zh-CN"/>
              </w:rPr>
              <w:t>负责人身份证号</w:t>
            </w:r>
          </w:p>
        </w:tc>
        <w:tc>
          <w:tcPr>
            <w:tcW w:w="5673" w:type="dxa"/>
          </w:tcPr>
          <w:p>
            <w:pPr>
              <w:rPr>
                <w:rFonts w:hint="eastAsia" w:ascii="宋体" w:hAnsi="宋体" w:eastAsia="宋体"/>
                <w:b/>
                <w:bCs w:val="0"/>
                <w:szCs w:val="21"/>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1" w:hRule="atLeast"/>
          <w:jc w:val="center"/>
        </w:trPr>
        <w:tc>
          <w:tcPr>
            <w:tcW w:w="1827" w:type="dxa"/>
          </w:tcPr>
          <w:p>
            <w:pPr>
              <w:rPr>
                <w:rFonts w:hint="eastAsia" w:ascii="宋体" w:hAnsi="宋体" w:eastAsia="宋体"/>
                <w:b/>
                <w:bCs w:val="0"/>
                <w:szCs w:val="21"/>
                <w:vertAlign w:val="baseline"/>
                <w:lang w:eastAsia="zh-CN"/>
              </w:rPr>
            </w:pPr>
            <w:r>
              <w:rPr>
                <w:rFonts w:hint="eastAsia" w:ascii="宋体" w:hAnsi="宋体"/>
                <w:b/>
                <w:bCs w:val="0"/>
                <w:szCs w:val="21"/>
                <w:vertAlign w:val="baseline"/>
                <w:lang w:eastAsia="zh-CN"/>
              </w:rPr>
              <w:t>联系地址</w:t>
            </w:r>
            <w:r>
              <w:rPr>
                <w:rFonts w:hint="eastAsia" w:ascii="宋体" w:hAnsi="宋体"/>
                <w:b/>
                <w:bCs w:val="0"/>
                <w:szCs w:val="21"/>
                <w:vertAlign w:val="baseline"/>
                <w:lang w:val="en-US" w:eastAsia="zh-CN"/>
              </w:rPr>
              <w:t xml:space="preserve"> </w:t>
            </w:r>
          </w:p>
        </w:tc>
        <w:tc>
          <w:tcPr>
            <w:tcW w:w="5673" w:type="dxa"/>
          </w:tcPr>
          <w:p>
            <w:pPr>
              <w:rPr>
                <w:rFonts w:hint="eastAsia" w:ascii="宋体" w:hAnsi="宋体" w:eastAsia="宋体"/>
                <w:b/>
                <w:bCs w:val="0"/>
                <w:szCs w:val="21"/>
                <w:vertAlign w:val="baseline"/>
                <w:lang w:eastAsia="zh-CN"/>
              </w:rPr>
            </w:pPr>
          </w:p>
        </w:tc>
      </w:tr>
    </w:tbl>
    <w:p>
      <w:pPr>
        <w:ind w:firstLine="420" w:firstLineChars="200"/>
        <w:rPr>
          <w:rFonts w:hint="eastAsia" w:ascii="宋体" w:hAnsi="宋体" w:eastAsia="宋体"/>
          <w:bCs/>
          <w:szCs w:val="21"/>
          <w:lang w:eastAsia="zh-CN"/>
        </w:rPr>
      </w:pPr>
    </w:p>
    <w:p>
      <w:pPr>
        <w:ind w:firstLine="420" w:firstLineChars="200"/>
        <w:rPr>
          <w:rFonts w:hint="eastAsia" w:ascii="宋体" w:hAnsi="宋体"/>
          <w:bCs/>
          <w:szCs w:val="21"/>
        </w:rPr>
      </w:pPr>
      <w:r>
        <w:rPr>
          <w:rFonts w:hint="eastAsia" w:ascii="宋体" w:hAnsi="宋体"/>
          <w:bCs/>
          <w:szCs w:val="21"/>
        </w:rPr>
        <w:t>我作为互联网数据中心用户，同意遵守《易信科技用户入网责任书》中的各项规定，如违反规定，将接受处罚直至追究法律责任。</w:t>
      </w:r>
    </w:p>
    <w:p>
      <w:pPr>
        <w:ind w:firstLine="420" w:firstLineChars="200"/>
        <w:rPr>
          <w:rFonts w:hint="eastAsia" w:ascii="宋体" w:hAnsi="宋体"/>
          <w:bCs/>
          <w:szCs w:val="21"/>
        </w:rPr>
      </w:pPr>
    </w:p>
    <w:p>
      <w:pPr>
        <w:ind w:firstLine="420" w:firstLineChars="200"/>
        <w:rPr>
          <w:rFonts w:hint="eastAsia" w:ascii="宋体" w:hAnsi="宋体"/>
          <w:bCs/>
          <w:szCs w:val="21"/>
        </w:rPr>
      </w:pPr>
    </w:p>
    <w:p>
      <w:pPr>
        <w:ind w:firstLine="420" w:firstLineChars="200"/>
        <w:rPr>
          <w:rFonts w:ascii="宋体" w:hAnsi="宋体"/>
          <w:bCs/>
          <w:szCs w:val="21"/>
        </w:rPr>
      </w:pPr>
    </w:p>
    <w:p>
      <w:pPr>
        <w:ind w:firstLine="2205" w:firstLineChars="1050"/>
        <w:jc w:val="right"/>
        <w:rPr>
          <w:rFonts w:ascii="宋体" w:hAnsi="宋体"/>
          <w:bCs/>
          <w:szCs w:val="21"/>
        </w:rPr>
      </w:pPr>
      <w:r>
        <w:rPr>
          <w:rFonts w:hint="eastAsia" w:ascii="宋体" w:hAnsi="宋体"/>
          <w:bCs/>
          <w:szCs w:val="21"/>
        </w:rPr>
        <w:t>互联网数据中心用户代表人签字：</w:t>
      </w:r>
      <w:r>
        <w:rPr>
          <w:rFonts w:ascii="宋体" w:hAnsi="宋体"/>
          <w:bCs/>
          <w:szCs w:val="21"/>
        </w:rPr>
        <w:t xml:space="preserve"> </w:t>
      </w:r>
    </w:p>
    <w:p>
      <w:pPr>
        <w:tabs>
          <w:tab w:val="center" w:pos="4153"/>
          <w:tab w:val="right" w:pos="12626"/>
        </w:tabs>
        <w:ind w:firstLine="420" w:firstLineChars="200"/>
        <w:jc w:val="left"/>
        <w:rPr>
          <w:rFonts w:ascii="宋体" w:hAnsi="宋体"/>
          <w:bCs/>
          <w:szCs w:val="21"/>
        </w:rPr>
      </w:pPr>
      <w:r>
        <w:rPr>
          <w:rFonts w:hint="eastAsia" w:ascii="宋体" w:hAnsi="宋体"/>
          <w:bCs/>
          <w:szCs w:val="21"/>
          <w:lang w:eastAsia="zh-CN"/>
        </w:rPr>
        <w:tab/>
      </w:r>
      <w:r>
        <w:rPr>
          <w:rFonts w:hint="eastAsia" w:ascii="宋体" w:hAnsi="宋体"/>
          <w:bCs/>
          <w:szCs w:val="21"/>
        </w:rPr>
        <w:t xml:space="preserve">                                        </w:t>
      </w:r>
    </w:p>
    <w:p>
      <w:pPr>
        <w:ind w:firstLine="4305" w:firstLineChars="2050"/>
        <w:jc w:val="right"/>
        <w:rPr>
          <w:rFonts w:ascii="宋体" w:hAnsi="宋体"/>
          <w:bCs/>
          <w:szCs w:val="21"/>
        </w:rPr>
      </w:pPr>
      <w:r>
        <w:rPr>
          <w:rFonts w:hint="eastAsia" w:ascii="宋体" w:hAnsi="宋体"/>
          <w:bCs/>
          <w:szCs w:val="21"/>
        </w:rPr>
        <w:t>单位盖章：</w:t>
      </w:r>
    </w:p>
    <w:p>
      <w:pPr>
        <w:ind w:firstLine="4620" w:firstLineChars="2200"/>
        <w:jc w:val="right"/>
        <w:rPr>
          <w:rFonts w:ascii="宋体" w:hAnsi="宋体"/>
          <w:bCs/>
          <w:szCs w:val="21"/>
        </w:rPr>
      </w:pPr>
      <w:r>
        <w:rPr>
          <w:rFonts w:hint="eastAsia" w:ascii="宋体" w:hAnsi="宋体"/>
          <w:bCs/>
          <w:szCs w:val="21"/>
        </w:rPr>
        <w:t xml:space="preserve"> </w:t>
      </w:r>
    </w:p>
    <w:p>
      <w:pPr>
        <w:ind w:firstLine="420" w:firstLineChars="200"/>
        <w:jc w:val="right"/>
        <w:rPr>
          <w:rFonts w:ascii="宋体" w:hAnsi="宋体"/>
          <w:bCs/>
          <w:szCs w:val="21"/>
        </w:rPr>
      </w:pPr>
      <w:r>
        <w:rPr>
          <w:rFonts w:hint="eastAsia" w:ascii="宋体" w:hAnsi="宋体"/>
          <w:bCs/>
          <w:szCs w:val="21"/>
        </w:rPr>
        <w:t xml:space="preserve">                                     签署日期：</w:t>
      </w:r>
    </w:p>
    <w:p>
      <w:pPr>
        <w:rPr>
          <w:rFonts w:hint="eastAsia"/>
          <w:sz w:val="20"/>
          <w:szCs w:val="20"/>
          <w:highlight w:val="yellow"/>
          <w:lang w:eastAsia="zh-CN"/>
        </w:rPr>
      </w:pPr>
    </w:p>
    <w:p>
      <w:pPr>
        <w:rPr>
          <w:rFonts w:hint="eastAsia"/>
          <w:sz w:val="20"/>
          <w:szCs w:val="20"/>
          <w:highlight w:val="yellow"/>
          <w:lang w:eastAsia="zh-CN"/>
        </w:rPr>
      </w:pPr>
    </w:p>
    <w:p>
      <w:pPr>
        <w:rPr>
          <w:rFonts w:hint="eastAsia"/>
          <w:sz w:val="20"/>
          <w:szCs w:val="20"/>
          <w:highlight w:val="yellow"/>
          <w:lang w:val="en-US" w:eastAsia="zh-CN"/>
        </w:rPr>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tentative="0">
      <w:start w:val="1"/>
      <w:numFmt w:val="japaneseCounting"/>
      <w:lvlText w:val="%1、"/>
      <w:lvlJc w:val="left"/>
      <w:pPr>
        <w:tabs>
          <w:tab w:val="left" w:pos="960"/>
        </w:tabs>
        <w:ind w:left="960" w:hanging="480"/>
      </w:pPr>
      <w:rPr>
        <w:rFonts w:hint="default"/>
      </w:rPr>
    </w:lvl>
    <w:lvl w:ilvl="1" w:tentative="0">
      <w:start w:val="1"/>
      <w:numFmt w:val="lowerLetter"/>
      <w:lvlText w:val="%2)"/>
      <w:lvlJc w:val="left"/>
      <w:pPr>
        <w:tabs>
          <w:tab w:val="left" w:pos="1320"/>
        </w:tabs>
        <w:ind w:left="1320" w:hanging="420"/>
      </w:pPr>
    </w:lvl>
    <w:lvl w:ilvl="2" w:tentative="0">
      <w:start w:val="1"/>
      <w:numFmt w:val="lowerRoman"/>
      <w:lvlText w:val="%3."/>
      <w:lvlJc w:val="right"/>
      <w:pPr>
        <w:tabs>
          <w:tab w:val="left" w:pos="1740"/>
        </w:tabs>
        <w:ind w:left="1740" w:hanging="420"/>
      </w:pPr>
    </w:lvl>
    <w:lvl w:ilvl="3" w:tentative="0">
      <w:start w:val="1"/>
      <w:numFmt w:val="decimal"/>
      <w:lvlText w:val="%4."/>
      <w:lvlJc w:val="left"/>
      <w:pPr>
        <w:tabs>
          <w:tab w:val="left" w:pos="2160"/>
        </w:tabs>
        <w:ind w:left="2160" w:hanging="420"/>
      </w:pPr>
    </w:lvl>
    <w:lvl w:ilvl="4" w:tentative="0">
      <w:start w:val="1"/>
      <w:numFmt w:val="lowerLetter"/>
      <w:lvlText w:val="%5)"/>
      <w:lvlJc w:val="left"/>
      <w:pPr>
        <w:tabs>
          <w:tab w:val="left" w:pos="2580"/>
        </w:tabs>
        <w:ind w:left="2580" w:hanging="420"/>
      </w:pPr>
    </w:lvl>
    <w:lvl w:ilvl="5" w:tentative="0">
      <w:start w:val="1"/>
      <w:numFmt w:val="lowerRoman"/>
      <w:lvlText w:val="%6."/>
      <w:lvlJc w:val="right"/>
      <w:pPr>
        <w:tabs>
          <w:tab w:val="left" w:pos="3000"/>
        </w:tabs>
        <w:ind w:left="3000" w:hanging="420"/>
      </w:pPr>
    </w:lvl>
    <w:lvl w:ilvl="6" w:tentative="0">
      <w:start w:val="1"/>
      <w:numFmt w:val="decimal"/>
      <w:lvlText w:val="%7."/>
      <w:lvlJc w:val="left"/>
      <w:pPr>
        <w:tabs>
          <w:tab w:val="left" w:pos="3420"/>
        </w:tabs>
        <w:ind w:left="3420" w:hanging="420"/>
      </w:pPr>
    </w:lvl>
    <w:lvl w:ilvl="7" w:tentative="0">
      <w:start w:val="1"/>
      <w:numFmt w:val="lowerLetter"/>
      <w:lvlText w:val="%8)"/>
      <w:lvlJc w:val="left"/>
      <w:pPr>
        <w:tabs>
          <w:tab w:val="left" w:pos="3840"/>
        </w:tabs>
        <w:ind w:left="3840" w:hanging="420"/>
      </w:pPr>
    </w:lvl>
    <w:lvl w:ilvl="8" w:tentative="0">
      <w:start w:val="1"/>
      <w:numFmt w:val="lowerRoman"/>
      <w:lvlText w:val="%9."/>
      <w:lvlJc w:val="right"/>
      <w:pPr>
        <w:tabs>
          <w:tab w:val="left" w:pos="4260"/>
        </w:tabs>
        <w:ind w:left="426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9D1A28"/>
    <w:rsid w:val="01165A08"/>
    <w:rsid w:val="04B34DFA"/>
    <w:rsid w:val="05D041BC"/>
    <w:rsid w:val="0F6D38DD"/>
    <w:rsid w:val="12873823"/>
    <w:rsid w:val="13332BC1"/>
    <w:rsid w:val="15AD15A4"/>
    <w:rsid w:val="16295EA9"/>
    <w:rsid w:val="1674127F"/>
    <w:rsid w:val="202176FC"/>
    <w:rsid w:val="25611718"/>
    <w:rsid w:val="28D93DEF"/>
    <w:rsid w:val="2B661A75"/>
    <w:rsid w:val="2BFC3017"/>
    <w:rsid w:val="2C605E52"/>
    <w:rsid w:val="2D6309A6"/>
    <w:rsid w:val="2E863760"/>
    <w:rsid w:val="2F08142A"/>
    <w:rsid w:val="35022895"/>
    <w:rsid w:val="36676B58"/>
    <w:rsid w:val="36A5045E"/>
    <w:rsid w:val="3A6D34D7"/>
    <w:rsid w:val="3CE918ED"/>
    <w:rsid w:val="3D2206D1"/>
    <w:rsid w:val="3FD07729"/>
    <w:rsid w:val="40924ED7"/>
    <w:rsid w:val="425557CD"/>
    <w:rsid w:val="46E149A6"/>
    <w:rsid w:val="4B7516CC"/>
    <w:rsid w:val="4D805283"/>
    <w:rsid w:val="4DE8564D"/>
    <w:rsid w:val="4DFD5CE8"/>
    <w:rsid w:val="52707813"/>
    <w:rsid w:val="5B1A0B08"/>
    <w:rsid w:val="5CEA5887"/>
    <w:rsid w:val="5F0E0279"/>
    <w:rsid w:val="6038773C"/>
    <w:rsid w:val="61CC76D6"/>
    <w:rsid w:val="631E33B3"/>
    <w:rsid w:val="63C54EB4"/>
    <w:rsid w:val="68EC6442"/>
    <w:rsid w:val="69321A35"/>
    <w:rsid w:val="6B86673F"/>
    <w:rsid w:val="71361F14"/>
    <w:rsid w:val="71540188"/>
    <w:rsid w:val="73F012C8"/>
    <w:rsid w:val="74C604CB"/>
    <w:rsid w:val="76CD1DD4"/>
    <w:rsid w:val="77DE79C1"/>
    <w:rsid w:val="79EC4677"/>
    <w:rsid w:val="7A6E2266"/>
    <w:rsid w:val="7C9A025C"/>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2">
    <w:name w:val="Default Paragraph Font"/>
    <w:semiHidden/>
    <w:qFormat/>
    <w:uiPriority w:val="0"/>
  </w:style>
  <w:style w:type="table" w:default="1" w:styleId="4">
    <w:name w:val="Normal Table"/>
    <w:semiHidden/>
    <w:qFormat/>
    <w:uiPriority w:val="0"/>
    <w:tblPr>
      <w:tblLayout w:type="fixed"/>
      <w:tblCellMar>
        <w:top w:w="0" w:type="dxa"/>
        <w:left w:w="108" w:type="dxa"/>
        <w:bottom w:w="0" w:type="dxa"/>
        <w:right w:w="108" w:type="dxa"/>
      </w:tblCellMar>
    </w:tblPr>
  </w:style>
  <w:style w:type="character" w:styleId="3">
    <w:name w:val="Hyperlink"/>
    <w:basedOn w:val="2"/>
    <w:qFormat/>
    <w:uiPriority w:val="0"/>
    <w:rPr>
      <w:color w:val="0000FF"/>
      <w:u w:val="single"/>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Office_10.1.0.7346_F1E327BC-269C-435d-A152-05C5408002CA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esin</dc:creator>
  <cp:lastModifiedBy>zengchao</cp:lastModifiedBy>
  <dcterms:modified xsi:type="dcterms:W3CDTF">2018-05-14T06:12:21Z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2052-10.1.0.7346</vt:lpwstr>
  </property>
</Properties>
</file>